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3F83F" w14:textId="73A23D14" w:rsidR="00060C31" w:rsidRDefault="00FC45D9">
      <w:r w:rsidRPr="00FC45D9">
        <w:t xml:space="preserve">Sonol to </w:t>
      </w:r>
      <w:r w:rsidR="00060C31">
        <w:t xml:space="preserve">jedyny* </w:t>
      </w:r>
      <w:r w:rsidRPr="00FC45D9">
        <w:t xml:space="preserve">lek </w:t>
      </w:r>
      <w:r w:rsidR="00060C31">
        <w:t>z 3</w:t>
      </w:r>
      <w:r w:rsidR="00161AC3">
        <w:t>.</w:t>
      </w:r>
      <w:r w:rsidR="00060C31">
        <w:t xml:space="preserve"> substancjami czynnymi do stosowania pomocniczo w leczeniu </w:t>
      </w:r>
      <w:r w:rsidRPr="00FC45D9">
        <w:t>chorób infekcyjnych skóry</w:t>
      </w:r>
      <w:r w:rsidR="00060C31">
        <w:t>, np. w przypadku opryszczki wargowej. Zawarty w produkcie lewomentol posiada właściwości bakteriobójcze, znieczulające i przeciwświądowe. Tymol i kwas salicylowy wzmagają je</w:t>
      </w:r>
      <w:r w:rsidR="00161AC3">
        <w:t xml:space="preserve">, </w:t>
      </w:r>
      <w:r w:rsidR="00060C31">
        <w:t xml:space="preserve">zapobiegają namnażaniu się bakterii i potęgują antyseptyczne działanie leku. Tymol posiada właściwości przeciwwirusowe, w tym wykazano jego działanie hamujące na rozwój infekcji wywołanej wirusem opryszczki pospolitej HHV-1. </w:t>
      </w:r>
    </w:p>
    <w:p w14:paraId="2E9EEE1C" w14:textId="1EEA69E2" w:rsidR="00060C31" w:rsidRDefault="00060C31">
      <w:r>
        <w:t>Sonol ma postać płynu</w:t>
      </w:r>
      <w:r w:rsidR="00161AC3">
        <w:t xml:space="preserve">, niewidocznego </w:t>
      </w:r>
      <w:r w:rsidR="00F95A2C">
        <w:t xml:space="preserve">po zastosowaniu </w:t>
      </w:r>
      <w:r w:rsidR="00161AC3">
        <w:t>na skór</w:t>
      </w:r>
      <w:r w:rsidR="00F95A2C">
        <w:t>ę</w:t>
      </w:r>
      <w:r w:rsidR="00161AC3">
        <w:t xml:space="preserve">, nie pozostawiającego tłustego filmu. </w:t>
      </w:r>
      <w:r>
        <w:t xml:space="preserve"> </w:t>
      </w:r>
      <w:r w:rsidR="00161AC3">
        <w:t xml:space="preserve">Roll on umożliwia higieniczną i precyzyjną aplikację leku. </w:t>
      </w:r>
      <w:r>
        <w:t xml:space="preserve"> </w:t>
      </w:r>
      <w:r w:rsidR="00161AC3">
        <w:t>Produkt dostępny jest na rynku od ponad 31 lat.</w:t>
      </w:r>
    </w:p>
    <w:p w14:paraId="795A8C35" w14:textId="77777777" w:rsidR="00060C31" w:rsidRDefault="00060C31"/>
    <w:p w14:paraId="65583B42" w14:textId="22217A38" w:rsidR="00060C31" w:rsidRPr="00161AC3" w:rsidRDefault="00060C31">
      <w:pPr>
        <w:rPr>
          <w:sz w:val="16"/>
          <w:szCs w:val="16"/>
        </w:rPr>
      </w:pPr>
      <w:r w:rsidRPr="00161AC3">
        <w:rPr>
          <w:sz w:val="16"/>
          <w:szCs w:val="16"/>
        </w:rPr>
        <w:t>*na podstawie przeglądu Rejestru produktów leczniczych Urzędu Rejestracji Produktów Leczniczych, Wyrobów Medycznych i Produktów Biobójczych, z dn. 1.02.2023.</w:t>
      </w:r>
    </w:p>
    <w:p w14:paraId="6F777366" w14:textId="4EE671B6" w:rsidR="00945716" w:rsidRDefault="00945716" w:rsidP="00945716">
      <w:pPr>
        <w:spacing w:after="0"/>
      </w:pPr>
      <w:r>
        <w:t xml:space="preserve">Sonol (21 mg + 21 mg + 2 mg)/1ml, płyn na skórę Levomentholum + Acidum salicylicum + Thymolum Skład: 1 ml leku zawiera substancje czynne: 21 mg lewomentolu (Levomentholum), 21 mg kwasu salicylowego (Acidum salicylicum), 2 mg tymolu (Thymolum). Substancje pomocnicze o znanym działaniu: glikol propylenowy. Wskazania do stosowania: środek pomocniczy w leczeniu chorób infekcyjnych skóry. Dawkowanie i sposób podawania: Młodzież powyżej 12 lat i dorośli: Stosować początkowo 4-5 razy na dobę, gdy nastąpi poprawa 2-3 razy na dobę. Dzieci: Nie stosować u dzieci w wieku poniżej 12 lat. Płyn na skórę. Produkt przeznaczony wyłącznie do stosowania zewnętrznego. Miejsca swędzące i wykwity na wargach smarować cienko i równomiernie. Przeciwwskazania: Nadwrażliwość na składniki produktu (lewomentol, kwas salicylowy, tymol) lub substancję pomocniczą (glikol propylenowy). Nie stosować na otwarte rany, błony śluzowe i skórę uszkodzoną. Nie stosować u dzieci poniżej 12 lat. Nie stosować w przypadku rozległych zmian złuszczających (np. w łuszczycy). Specjalne ostrzeżenia i środki ostrożności dotyczące stosowania: W przypadku wystąpienia nadwrażliwości na którykolwiek ze składników produktu (utrzymujące się zaczerwienienie skóry) należy przerwać stosowanie produktu i skontaktować się z lekarzem. Ponieważ kwas salicylowy bardzo łatwo wchłania się w przez skórę nie powinien być stosowany na dużych obszarach skóry przez długi czas, szczególnie u dzieci. Tymol podany doustnie wchłania się z jelit i pobudza ruchy robaczkowe. Wydala się przez nerki. Może działać drażniąco na nerki i powodować białkomocz. W ostrych zatruciach występują objawy ze strony przewodu pokarmowego. Glikol propylenowy może powodować podrażnienie skóry. </w:t>
      </w:r>
      <w:r w:rsidRPr="003449D3">
        <w:t xml:space="preserve">Interakcje z innymi lekami i inne rodzaje interakcji: </w:t>
      </w:r>
      <w:r>
        <w:t xml:space="preserve">Nie stosować z innymi preparatami zawierającymi składniki złuszczające, np. rezorcynol, siarkę, ponieważ może wystąpić podrażnienie skóry. Preparatów zawierających kwas salicylowy nie powinno się stosować razem z preparatami przeciwtrądzikowymi lub zawierającymi czynniki pilingujące (np. rezorcynol, siarkę) ze względu na możliwość podrażnienia skóry. Działania niepożądane: Zaburzenia skóry i tkanki podskórnej: Częstość nieznana: - Podrażnienie skóry. Zgłaszanie podejrzewanych działań niepożądanych: 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Departamentu Monitorowania Niepożądanych Działań Produktów Leczniczych Urzędu Rejestracji Produktów Leczniczych, Wyrobów Medycznych i Produktów Biobójczych: Al. Jerozolimskie 181C, 02-222 Warszawa, tel.: + 48 22 49-21-301, fax: +48 22 49-21-309, e-mail: </w:t>
      </w:r>
      <w:hyperlink r:id="rId4" w:history="1">
        <w:r w:rsidRPr="00A77BD2">
          <w:rPr>
            <w:rStyle w:val="Hipercze"/>
          </w:rPr>
          <w:t>https://smz.ezdrowie.gov.pl</w:t>
        </w:r>
      </w:hyperlink>
      <w:r w:rsidRPr="003449D3">
        <w:t xml:space="preserve">. </w:t>
      </w:r>
      <w:r>
        <w:t> Działania niepożądane można zgłaszać</w:t>
      </w:r>
      <w:r w:rsidR="007E175D">
        <w:t xml:space="preserve"> </w:t>
      </w:r>
      <w:r>
        <w:t>również podmiotowi odpowiedzialnemu. Podmiot odpowiedzialny: ELANDA PHARMA Sp. z o. o. ul. Sportowa 9, 97-340 Rozprza Numer pozwoleni</w:t>
      </w:r>
      <w:r w:rsidRPr="003449D3">
        <w:t>a</w:t>
      </w:r>
      <w:r>
        <w:t xml:space="preserve"> na dopuszczenie do obrotu: R/0584;</w:t>
      </w:r>
      <w:r w:rsidR="007E175D">
        <w:t xml:space="preserve"> </w:t>
      </w:r>
      <w:r>
        <w:t xml:space="preserve">wydane przez Prezesa Urzędu </w:t>
      </w:r>
      <w:r>
        <w:lastRenderedPageBreak/>
        <w:t>Rejestracji Produktów Leczniczych, Wyrobów Medycznych i Produktów Biobójczych. Kategoria dostępności: Produkt leczniczy wydawany bez przepisu lekarza</w:t>
      </w:r>
    </w:p>
    <w:p w14:paraId="5492F369" w14:textId="77777777" w:rsidR="00945716" w:rsidRDefault="00945716" w:rsidP="00945716">
      <w:pPr>
        <w:spacing w:after="0"/>
      </w:pPr>
      <w:r>
        <w:t>– OTC. Informacji udziela podmiot prowadzący reklamę na zlecenie podmiotu odpowiedzialnego: ELANDA PHARMA Sp. z o. o. ul. Sportowa 9, 97-340 Rozprza.</w:t>
      </w:r>
    </w:p>
    <w:p w14:paraId="54FF2657" w14:textId="1DDB5F04" w:rsidR="00060C31" w:rsidRDefault="00060C31"/>
    <w:sectPr w:rsidR="00060C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5D9"/>
    <w:rsid w:val="000266DE"/>
    <w:rsid w:val="00060C31"/>
    <w:rsid w:val="00161AC3"/>
    <w:rsid w:val="005B6FE3"/>
    <w:rsid w:val="007E175D"/>
    <w:rsid w:val="00945716"/>
    <w:rsid w:val="00AB6079"/>
    <w:rsid w:val="00F95A2C"/>
    <w:rsid w:val="00FC45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599D0"/>
  <w15:chartTrackingRefBased/>
  <w15:docId w15:val="{D2099906-2946-4C7B-A38B-E60D61D4F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945716"/>
    <w:rPr>
      <w:color w:val="0563C1" w:themeColor="hyperlink"/>
      <w:u w:val="single"/>
    </w:rPr>
  </w:style>
  <w:style w:type="character" w:styleId="Nierozpoznanawzmianka">
    <w:name w:val="Unresolved Mention"/>
    <w:basedOn w:val="Domylnaczcionkaakapitu"/>
    <w:uiPriority w:val="99"/>
    <w:semiHidden/>
    <w:unhideWhenUsed/>
    <w:rsid w:val="00945716"/>
    <w:rPr>
      <w:color w:val="605E5C"/>
      <w:shd w:val="clear" w:color="auto" w:fill="E1DFDD"/>
    </w:rPr>
  </w:style>
  <w:style w:type="paragraph" w:styleId="Poprawka">
    <w:name w:val="Revision"/>
    <w:hidden/>
    <w:uiPriority w:val="99"/>
    <w:semiHidden/>
    <w:rsid w:val="00F95A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mz.ezdrowie.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623</Words>
  <Characters>3741</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Królikowska</dc:creator>
  <cp:keywords/>
  <dc:description/>
  <cp:lastModifiedBy>Katarzyna Królikowska</cp:lastModifiedBy>
  <cp:revision>2</cp:revision>
  <dcterms:created xsi:type="dcterms:W3CDTF">2023-11-06T17:09:00Z</dcterms:created>
  <dcterms:modified xsi:type="dcterms:W3CDTF">2023-11-06T17:09:00Z</dcterms:modified>
</cp:coreProperties>
</file>